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76" w:rsidRPr="00B3422D" w:rsidRDefault="00B3422D" w:rsidP="00B3422D">
      <w:pPr>
        <w:tabs>
          <w:tab w:val="left" w:pos="8850"/>
        </w:tabs>
        <w:rPr>
          <w:i/>
        </w:rPr>
      </w:pPr>
      <w:r>
        <w:t>Teacher Name: Guadalupe Rivera       Grade: 3</w:t>
      </w:r>
      <w:r w:rsidRPr="00BB76B8">
        <w:rPr>
          <w:vertAlign w:val="superscript"/>
        </w:rPr>
        <w:t>rd</w:t>
      </w:r>
      <w:r>
        <w:t>/4</w:t>
      </w:r>
      <w:r w:rsidRPr="00BB76B8">
        <w:rPr>
          <w:vertAlign w:val="superscript"/>
        </w:rPr>
        <w:t>th</w:t>
      </w:r>
      <w:r>
        <w:t xml:space="preserve">      Room: 209       Week:</w:t>
      </w:r>
      <w:r>
        <w:t xml:space="preserve"> October 17-21</w:t>
      </w:r>
    </w:p>
    <w:p w:rsidR="00B3422D" w:rsidRDefault="00B3422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13"/>
        <w:gridCol w:w="2614"/>
        <w:gridCol w:w="2613"/>
        <w:gridCol w:w="2614"/>
        <w:gridCol w:w="2614"/>
      </w:tblGrid>
      <w:tr w:rsidR="00B3422D" w:rsidRPr="00554901" w:rsidTr="00963D2D">
        <w:tc>
          <w:tcPr>
            <w:tcW w:w="14616" w:type="dxa"/>
            <w:gridSpan w:val="6"/>
            <w:shd w:val="clear" w:color="auto" w:fill="F2F2F2"/>
          </w:tcPr>
          <w:p w:rsidR="00B3422D" w:rsidRPr="00554901" w:rsidRDefault="00B3422D" w:rsidP="00963D2D">
            <w:pPr>
              <w:rPr>
                <w:sz w:val="22"/>
                <w:szCs w:val="22"/>
              </w:rPr>
            </w:pPr>
            <w:r w:rsidRPr="00554901">
              <w:rPr>
                <w:sz w:val="22"/>
                <w:szCs w:val="22"/>
              </w:rPr>
              <w:t xml:space="preserve">Writing Concept:  </w:t>
            </w:r>
            <w:r>
              <w:rPr>
                <w:sz w:val="22"/>
                <w:szCs w:val="22"/>
              </w:rPr>
              <w:t>Narrative Writing</w:t>
            </w:r>
            <w:r w:rsidRPr="00554901">
              <w:rPr>
                <w:sz w:val="22"/>
                <w:szCs w:val="22"/>
              </w:rPr>
              <w:t xml:space="preserve">        Conn</w:t>
            </w:r>
            <w:r>
              <w:rPr>
                <w:sz w:val="22"/>
                <w:szCs w:val="22"/>
              </w:rPr>
              <w:t>ected to subject:    ESL</w:t>
            </w:r>
            <w:r w:rsidRPr="00554901">
              <w:rPr>
                <w:sz w:val="22"/>
                <w:szCs w:val="22"/>
              </w:rPr>
              <w:t xml:space="preserve">                               </w:t>
            </w:r>
          </w:p>
        </w:tc>
      </w:tr>
      <w:tr w:rsidR="00B3422D" w:rsidRPr="00554901" w:rsidTr="00963D2D">
        <w:tc>
          <w:tcPr>
            <w:tcW w:w="1548" w:type="dxa"/>
            <w:shd w:val="clear" w:color="auto" w:fill="auto"/>
          </w:tcPr>
          <w:p w:rsidR="00B3422D" w:rsidRPr="00554901" w:rsidRDefault="00B3422D" w:rsidP="00963D2D">
            <w:pPr>
              <w:rPr>
                <w:sz w:val="22"/>
                <w:szCs w:val="22"/>
              </w:rPr>
            </w:pPr>
            <w:r w:rsidRPr="00554901">
              <w:rPr>
                <w:sz w:val="22"/>
                <w:szCs w:val="22"/>
              </w:rPr>
              <w:t>CCSS:</w:t>
            </w:r>
          </w:p>
        </w:tc>
        <w:tc>
          <w:tcPr>
            <w:tcW w:w="13068" w:type="dxa"/>
            <w:gridSpan w:val="5"/>
            <w:shd w:val="clear" w:color="auto" w:fill="auto"/>
          </w:tcPr>
          <w:p w:rsidR="00B3422D" w:rsidRPr="00554901" w:rsidRDefault="00B3422D" w:rsidP="00963D2D">
            <w:pPr>
              <w:rPr>
                <w:sz w:val="22"/>
                <w:szCs w:val="22"/>
              </w:rPr>
            </w:pPr>
            <w:r w:rsidRPr="004A4386">
              <w:rPr>
                <w:rFonts w:eastAsia="Calibri"/>
                <w:sz w:val="18"/>
                <w:szCs w:val="18"/>
              </w:rPr>
              <w:t>3. Write narratives to develop real or imagined experiences or events using effective technique, descriptive details, and clear event sequences. a. Establish a situation and introduce a narrator and/or characters; organize an event sequence that unfolds naturally</w:t>
            </w:r>
          </w:p>
        </w:tc>
      </w:tr>
      <w:tr w:rsidR="00B3422D" w:rsidRPr="00554901" w:rsidTr="00963D2D">
        <w:tc>
          <w:tcPr>
            <w:tcW w:w="1548" w:type="dxa"/>
            <w:shd w:val="clear" w:color="auto" w:fill="auto"/>
          </w:tcPr>
          <w:p w:rsidR="00B3422D" w:rsidRPr="00554901" w:rsidRDefault="00B3422D" w:rsidP="00963D2D">
            <w:pPr>
              <w:rPr>
                <w:sz w:val="22"/>
                <w:szCs w:val="22"/>
              </w:rPr>
            </w:pPr>
            <w:r w:rsidRPr="00554901">
              <w:rPr>
                <w:sz w:val="22"/>
                <w:szCs w:val="22"/>
              </w:rPr>
              <w:t>WIDA:</w:t>
            </w:r>
          </w:p>
        </w:tc>
        <w:tc>
          <w:tcPr>
            <w:tcW w:w="13068" w:type="dxa"/>
            <w:gridSpan w:val="5"/>
            <w:shd w:val="clear" w:color="auto" w:fill="auto"/>
          </w:tcPr>
          <w:p w:rsidR="00B3422D" w:rsidRPr="00CD3031" w:rsidRDefault="00B3422D" w:rsidP="00963D2D">
            <w:pPr>
              <w:keepNext/>
              <w:widowControl w:val="0"/>
              <w:autoSpaceDE w:val="0"/>
              <w:autoSpaceDN w:val="0"/>
              <w:adjustRightInd w:val="0"/>
              <w:outlineLvl w:val="0"/>
              <w:rPr>
                <w:sz w:val="18"/>
                <w:szCs w:val="18"/>
              </w:rPr>
            </w:pPr>
            <w:r w:rsidRPr="00CD3031">
              <w:rPr>
                <w:sz w:val="18"/>
                <w:szCs w:val="18"/>
                <w:u w:val="single"/>
              </w:rPr>
              <w:t>English Language Proficiency Standard 1</w:t>
            </w:r>
            <w:r w:rsidRPr="00CD3031">
              <w:rPr>
                <w:sz w:val="18"/>
                <w:szCs w:val="18"/>
              </w:rPr>
              <w:t>:</w:t>
            </w:r>
          </w:p>
          <w:p w:rsidR="00B3422D" w:rsidRPr="00CD3031" w:rsidRDefault="00B3422D" w:rsidP="00963D2D">
            <w:pPr>
              <w:keepNext/>
              <w:widowControl w:val="0"/>
              <w:autoSpaceDE w:val="0"/>
              <w:autoSpaceDN w:val="0"/>
              <w:adjustRightInd w:val="0"/>
              <w:outlineLvl w:val="0"/>
              <w:rPr>
                <w:b/>
                <w:bCs/>
                <w:i/>
                <w:iCs/>
                <w:sz w:val="18"/>
                <w:szCs w:val="18"/>
              </w:rPr>
            </w:pPr>
            <w:r w:rsidRPr="00CD3031">
              <w:rPr>
                <w:b/>
                <w:bCs/>
                <w:i/>
                <w:iCs/>
                <w:sz w:val="18"/>
                <w:szCs w:val="18"/>
              </w:rPr>
              <w:t>English language learners communicate in English for SOCIAL AND INSTRUCTIONAL purposes within the school setting.</w:t>
            </w:r>
          </w:p>
          <w:p w:rsidR="00B3422D" w:rsidRPr="00CD3031" w:rsidRDefault="00B3422D" w:rsidP="00963D2D">
            <w:pPr>
              <w:rPr>
                <w:rFonts w:eastAsia="Calibri"/>
                <w:sz w:val="18"/>
                <w:szCs w:val="18"/>
              </w:rPr>
            </w:pPr>
            <w:r w:rsidRPr="00CD3031">
              <w:rPr>
                <w:rFonts w:eastAsia="Calibri"/>
                <w:sz w:val="18"/>
                <w:szCs w:val="18"/>
              </w:rPr>
              <w:t>1b Listening: process, understand, interpret, and evaluate spoken language in a variety of situations.</w:t>
            </w:r>
          </w:p>
          <w:p w:rsidR="00B3422D" w:rsidRPr="00CD3031" w:rsidRDefault="00B3422D" w:rsidP="00963D2D">
            <w:pPr>
              <w:rPr>
                <w:rFonts w:eastAsia="Calibri"/>
                <w:sz w:val="18"/>
                <w:szCs w:val="18"/>
              </w:rPr>
            </w:pPr>
            <w:r w:rsidRPr="00CD3031">
              <w:rPr>
                <w:rFonts w:eastAsia="Calibri"/>
                <w:sz w:val="18"/>
                <w:szCs w:val="18"/>
              </w:rPr>
              <w:t>2b Speaking: engage in oral communication in a variety of situations for a variety of purposes and audiences</w:t>
            </w:r>
          </w:p>
          <w:p w:rsidR="00B3422D" w:rsidRPr="00CD3031" w:rsidRDefault="00B3422D" w:rsidP="00963D2D">
            <w:pPr>
              <w:rPr>
                <w:rFonts w:eastAsia="Calibri"/>
                <w:sz w:val="18"/>
                <w:szCs w:val="18"/>
              </w:rPr>
            </w:pPr>
            <w:r w:rsidRPr="00CD3031">
              <w:rPr>
                <w:rFonts w:eastAsia="Calibri"/>
                <w:sz w:val="18"/>
                <w:szCs w:val="18"/>
              </w:rPr>
              <w:t>3b Reading: process, interpret, and evaluate written language, symbols, and text with understanding and fluency</w:t>
            </w:r>
          </w:p>
          <w:p w:rsidR="00B3422D" w:rsidRPr="00CD3031" w:rsidRDefault="00B3422D" w:rsidP="00963D2D">
            <w:pPr>
              <w:rPr>
                <w:rFonts w:eastAsia="Calibri"/>
                <w:sz w:val="18"/>
                <w:szCs w:val="18"/>
              </w:rPr>
            </w:pPr>
            <w:r w:rsidRPr="00CD3031">
              <w:rPr>
                <w:rFonts w:eastAsia="Calibri"/>
                <w:sz w:val="18"/>
                <w:szCs w:val="18"/>
              </w:rPr>
              <w:t>4b Writing: engage in written communication in a variety of forms for a variety of purposes and audiences.</w:t>
            </w:r>
          </w:p>
          <w:p w:rsidR="00B3422D" w:rsidRPr="00CD3031" w:rsidRDefault="00B3422D" w:rsidP="00963D2D">
            <w:pPr>
              <w:ind w:left="720"/>
              <w:rPr>
                <w:rFonts w:eastAsia="Calibri"/>
                <w:sz w:val="18"/>
                <w:szCs w:val="18"/>
              </w:rPr>
            </w:pPr>
          </w:p>
          <w:p w:rsidR="00B3422D" w:rsidRPr="00CD3031" w:rsidRDefault="00B3422D" w:rsidP="00963D2D">
            <w:pPr>
              <w:rPr>
                <w:rFonts w:eastAsia="Calibri"/>
                <w:sz w:val="18"/>
                <w:szCs w:val="18"/>
              </w:rPr>
            </w:pPr>
            <w:r w:rsidRPr="00CD3031">
              <w:rPr>
                <w:rFonts w:eastAsia="Calibri"/>
                <w:sz w:val="18"/>
                <w:szCs w:val="18"/>
                <w:u w:val="single"/>
              </w:rPr>
              <w:t>English Language Proficiency Standard 2</w:t>
            </w:r>
            <w:r w:rsidRPr="00CD3031">
              <w:rPr>
                <w:rFonts w:eastAsia="Calibri"/>
                <w:sz w:val="18"/>
                <w:szCs w:val="18"/>
              </w:rPr>
              <w:t>:</w:t>
            </w:r>
          </w:p>
          <w:p w:rsidR="00B3422D" w:rsidRPr="00CD3031" w:rsidRDefault="00B3422D" w:rsidP="00963D2D">
            <w:pPr>
              <w:rPr>
                <w:rFonts w:eastAsia="Calibri"/>
                <w:b/>
                <w:bCs/>
                <w:i/>
                <w:iCs/>
                <w:sz w:val="18"/>
                <w:szCs w:val="18"/>
              </w:rPr>
            </w:pPr>
            <w:r w:rsidRPr="00CD3031">
              <w:rPr>
                <w:rFonts w:eastAsia="Calibri"/>
                <w:b/>
                <w:bCs/>
                <w:i/>
                <w:iCs/>
                <w:sz w:val="18"/>
                <w:szCs w:val="18"/>
              </w:rPr>
              <w:t>English language learners communicate information, ideas, and concepts necessary for academic success in the content area of LANGUAGE ARTS.</w:t>
            </w:r>
          </w:p>
          <w:p w:rsidR="00B3422D" w:rsidRPr="00CD3031" w:rsidRDefault="00B3422D" w:rsidP="00963D2D">
            <w:pPr>
              <w:rPr>
                <w:rFonts w:eastAsia="Calibri"/>
                <w:sz w:val="18"/>
                <w:szCs w:val="18"/>
              </w:rPr>
            </w:pPr>
            <w:r w:rsidRPr="00CD3031">
              <w:rPr>
                <w:rFonts w:eastAsia="Calibri"/>
                <w:sz w:val="18"/>
                <w:szCs w:val="18"/>
              </w:rPr>
              <w:t>5b Listening: process, understanding, interpret and evaluate spoken language in a variety of situations</w:t>
            </w:r>
          </w:p>
          <w:p w:rsidR="00B3422D" w:rsidRPr="00CD3031" w:rsidRDefault="00B3422D" w:rsidP="00963D2D">
            <w:pPr>
              <w:rPr>
                <w:rFonts w:eastAsia="Calibri"/>
                <w:sz w:val="18"/>
                <w:szCs w:val="18"/>
              </w:rPr>
            </w:pPr>
            <w:r w:rsidRPr="00CD3031">
              <w:rPr>
                <w:rFonts w:eastAsia="Calibri"/>
                <w:sz w:val="18"/>
                <w:szCs w:val="18"/>
              </w:rPr>
              <w:t>6b Speaking: engage in oral communication in a variety of situations for a variety of purposes and audiences</w:t>
            </w:r>
          </w:p>
          <w:p w:rsidR="00B3422D" w:rsidRPr="00CD3031" w:rsidRDefault="00B3422D" w:rsidP="00963D2D">
            <w:pPr>
              <w:rPr>
                <w:rFonts w:eastAsia="Calibri"/>
                <w:sz w:val="18"/>
                <w:szCs w:val="18"/>
              </w:rPr>
            </w:pPr>
            <w:r w:rsidRPr="00CD3031">
              <w:rPr>
                <w:rFonts w:eastAsia="Calibri"/>
                <w:sz w:val="18"/>
                <w:szCs w:val="18"/>
              </w:rPr>
              <w:t>7b Reading: process, interpret, and evaluate written language, symbols, and text with understanding and fluency</w:t>
            </w:r>
          </w:p>
          <w:p w:rsidR="00B3422D" w:rsidRPr="00554901" w:rsidRDefault="00B3422D" w:rsidP="00963D2D">
            <w:pPr>
              <w:rPr>
                <w:sz w:val="22"/>
                <w:szCs w:val="22"/>
              </w:rPr>
            </w:pPr>
            <w:r w:rsidRPr="004A4386">
              <w:rPr>
                <w:rFonts w:eastAsia="Calibri"/>
                <w:sz w:val="18"/>
                <w:szCs w:val="18"/>
              </w:rPr>
              <w:t>8b Writing: engage in written communication in a variety of forms for a variety of purposes and audiences.</w:t>
            </w:r>
          </w:p>
        </w:tc>
      </w:tr>
      <w:tr w:rsidR="00B3422D" w:rsidRPr="00554901" w:rsidTr="00963D2D">
        <w:tc>
          <w:tcPr>
            <w:tcW w:w="1548" w:type="dxa"/>
            <w:shd w:val="clear" w:color="auto" w:fill="auto"/>
          </w:tcPr>
          <w:p w:rsidR="00B3422D" w:rsidRPr="00554901" w:rsidRDefault="00B3422D" w:rsidP="00963D2D">
            <w:pPr>
              <w:rPr>
                <w:sz w:val="22"/>
                <w:szCs w:val="22"/>
              </w:rPr>
            </w:pPr>
            <w:r w:rsidRPr="00554901">
              <w:rPr>
                <w:sz w:val="22"/>
                <w:szCs w:val="22"/>
              </w:rPr>
              <w:t>Objective:</w:t>
            </w:r>
          </w:p>
        </w:tc>
        <w:tc>
          <w:tcPr>
            <w:tcW w:w="2613" w:type="dxa"/>
            <w:shd w:val="clear" w:color="auto" w:fill="auto"/>
          </w:tcPr>
          <w:p w:rsidR="00B3422D" w:rsidRPr="00554901" w:rsidRDefault="00B3422D" w:rsidP="00963D2D">
            <w:pPr>
              <w:rPr>
                <w:sz w:val="22"/>
                <w:szCs w:val="22"/>
              </w:rPr>
            </w:pPr>
            <w:r>
              <w:rPr>
                <w:sz w:val="22"/>
                <w:szCs w:val="22"/>
              </w:rPr>
              <w:t>Students will be able to write complete sentences</w:t>
            </w:r>
          </w:p>
        </w:tc>
        <w:tc>
          <w:tcPr>
            <w:tcW w:w="2614" w:type="dxa"/>
            <w:shd w:val="clear" w:color="auto" w:fill="auto"/>
          </w:tcPr>
          <w:p w:rsidR="00B3422D" w:rsidRPr="00554901" w:rsidRDefault="00B3422D" w:rsidP="00963D2D">
            <w:pPr>
              <w:rPr>
                <w:sz w:val="22"/>
                <w:szCs w:val="22"/>
              </w:rPr>
            </w:pPr>
            <w:r>
              <w:rPr>
                <w:sz w:val="22"/>
                <w:szCs w:val="22"/>
              </w:rPr>
              <w:t>Students will be able to write complete sentences</w:t>
            </w:r>
          </w:p>
        </w:tc>
        <w:tc>
          <w:tcPr>
            <w:tcW w:w="2613" w:type="dxa"/>
            <w:shd w:val="clear" w:color="auto" w:fill="auto"/>
          </w:tcPr>
          <w:p w:rsidR="00B3422D" w:rsidRPr="00554901" w:rsidRDefault="00B3422D" w:rsidP="00F0312A">
            <w:pPr>
              <w:rPr>
                <w:sz w:val="22"/>
                <w:szCs w:val="22"/>
              </w:rPr>
            </w:pPr>
            <w:r>
              <w:rPr>
                <w:sz w:val="22"/>
                <w:szCs w:val="22"/>
              </w:rPr>
              <w:t xml:space="preserve">Students will be able to </w:t>
            </w:r>
            <w:r w:rsidR="00F0312A">
              <w:rPr>
                <w:sz w:val="22"/>
                <w:szCs w:val="22"/>
              </w:rPr>
              <w:t>name the 4 different types of sentences</w:t>
            </w:r>
          </w:p>
        </w:tc>
        <w:tc>
          <w:tcPr>
            <w:tcW w:w="2614" w:type="dxa"/>
            <w:shd w:val="clear" w:color="auto" w:fill="auto"/>
          </w:tcPr>
          <w:p w:rsidR="00B3422D" w:rsidRPr="00554901" w:rsidRDefault="00B3422D" w:rsidP="00963D2D">
            <w:pPr>
              <w:rPr>
                <w:sz w:val="22"/>
                <w:szCs w:val="22"/>
              </w:rPr>
            </w:pPr>
            <w:r>
              <w:rPr>
                <w:sz w:val="22"/>
                <w:szCs w:val="22"/>
              </w:rPr>
              <w:t>Students will be able to name nouns and write proper nouns with capital letters</w:t>
            </w:r>
          </w:p>
        </w:tc>
        <w:tc>
          <w:tcPr>
            <w:tcW w:w="2614" w:type="dxa"/>
            <w:shd w:val="clear" w:color="auto" w:fill="auto"/>
          </w:tcPr>
          <w:p w:rsidR="00B3422D" w:rsidRPr="00554901" w:rsidRDefault="00B3422D" w:rsidP="00963D2D">
            <w:pPr>
              <w:rPr>
                <w:sz w:val="22"/>
                <w:szCs w:val="22"/>
              </w:rPr>
            </w:pPr>
            <w:r>
              <w:rPr>
                <w:sz w:val="22"/>
                <w:szCs w:val="22"/>
              </w:rPr>
              <w:t>Students will write complete sentences with correct capitalization and punctuation</w:t>
            </w:r>
          </w:p>
        </w:tc>
      </w:tr>
      <w:tr w:rsidR="00B3422D" w:rsidRPr="00554901" w:rsidTr="00963D2D">
        <w:tc>
          <w:tcPr>
            <w:tcW w:w="1548" w:type="dxa"/>
            <w:shd w:val="clear" w:color="auto" w:fill="auto"/>
          </w:tcPr>
          <w:p w:rsidR="00B3422D" w:rsidRPr="00554901" w:rsidRDefault="00B3422D" w:rsidP="00963D2D">
            <w:pPr>
              <w:rPr>
                <w:sz w:val="22"/>
                <w:szCs w:val="22"/>
              </w:rPr>
            </w:pPr>
            <w:r w:rsidRPr="00554901">
              <w:rPr>
                <w:sz w:val="22"/>
                <w:szCs w:val="22"/>
              </w:rPr>
              <w:t>Mini Lesson:</w:t>
            </w:r>
          </w:p>
        </w:tc>
        <w:tc>
          <w:tcPr>
            <w:tcW w:w="2613" w:type="dxa"/>
            <w:shd w:val="clear" w:color="auto" w:fill="auto"/>
          </w:tcPr>
          <w:p w:rsidR="00B3422D" w:rsidRDefault="00B3422D" w:rsidP="00963D2D">
            <w:pPr>
              <w:rPr>
                <w:sz w:val="22"/>
                <w:szCs w:val="22"/>
              </w:rPr>
            </w:pPr>
            <w:r>
              <w:rPr>
                <w:sz w:val="22"/>
                <w:szCs w:val="22"/>
              </w:rPr>
              <w:t>Students will be able to name the subject and predicate of a sentence</w:t>
            </w:r>
          </w:p>
          <w:p w:rsidR="00B3422D" w:rsidRDefault="00B3422D" w:rsidP="00963D2D">
            <w:pPr>
              <w:rPr>
                <w:sz w:val="22"/>
                <w:szCs w:val="22"/>
              </w:rPr>
            </w:pPr>
          </w:p>
          <w:p w:rsidR="00B3422D" w:rsidRDefault="00B3422D" w:rsidP="00963D2D">
            <w:pPr>
              <w:rPr>
                <w:sz w:val="22"/>
                <w:szCs w:val="22"/>
              </w:rPr>
            </w:pPr>
          </w:p>
          <w:p w:rsidR="00B3422D" w:rsidRPr="00554901" w:rsidRDefault="00B3422D" w:rsidP="00963D2D">
            <w:pPr>
              <w:rPr>
                <w:sz w:val="22"/>
                <w:szCs w:val="22"/>
              </w:rPr>
            </w:pPr>
          </w:p>
        </w:tc>
        <w:tc>
          <w:tcPr>
            <w:tcW w:w="2614" w:type="dxa"/>
            <w:shd w:val="clear" w:color="auto" w:fill="auto"/>
          </w:tcPr>
          <w:p w:rsidR="00B3422D" w:rsidRDefault="00B3422D" w:rsidP="00963D2D">
            <w:pPr>
              <w:rPr>
                <w:sz w:val="22"/>
                <w:szCs w:val="22"/>
              </w:rPr>
            </w:pPr>
            <w:r>
              <w:rPr>
                <w:sz w:val="22"/>
                <w:szCs w:val="22"/>
              </w:rPr>
              <w:t>Students will be able to break up a run on sentence using appropriate punctuation</w:t>
            </w:r>
          </w:p>
          <w:p w:rsidR="00B3422D" w:rsidRDefault="00B3422D" w:rsidP="00963D2D">
            <w:pPr>
              <w:rPr>
                <w:sz w:val="22"/>
                <w:szCs w:val="22"/>
              </w:rPr>
            </w:pPr>
          </w:p>
          <w:p w:rsidR="00B3422D" w:rsidRPr="00554901" w:rsidRDefault="00B3422D" w:rsidP="00963D2D">
            <w:pPr>
              <w:rPr>
                <w:sz w:val="22"/>
                <w:szCs w:val="22"/>
              </w:rPr>
            </w:pPr>
          </w:p>
        </w:tc>
        <w:tc>
          <w:tcPr>
            <w:tcW w:w="2613" w:type="dxa"/>
            <w:shd w:val="clear" w:color="auto" w:fill="auto"/>
          </w:tcPr>
          <w:p w:rsidR="00B3422D" w:rsidRDefault="00B3422D" w:rsidP="00963D2D">
            <w:pPr>
              <w:rPr>
                <w:sz w:val="22"/>
                <w:szCs w:val="22"/>
              </w:rPr>
            </w:pPr>
            <w:r>
              <w:rPr>
                <w:sz w:val="22"/>
                <w:szCs w:val="22"/>
              </w:rPr>
              <w:t>Students will be able to name which types of sentences use which types of punctuation</w:t>
            </w:r>
          </w:p>
          <w:p w:rsidR="00B3422D" w:rsidRPr="00554901" w:rsidRDefault="00B3422D" w:rsidP="00963D2D">
            <w:pPr>
              <w:rPr>
                <w:sz w:val="22"/>
                <w:szCs w:val="22"/>
              </w:rPr>
            </w:pPr>
          </w:p>
        </w:tc>
        <w:tc>
          <w:tcPr>
            <w:tcW w:w="2614" w:type="dxa"/>
            <w:shd w:val="clear" w:color="auto" w:fill="auto"/>
          </w:tcPr>
          <w:p w:rsidR="00B3422D" w:rsidRDefault="00B3422D" w:rsidP="00963D2D">
            <w:pPr>
              <w:rPr>
                <w:sz w:val="22"/>
                <w:szCs w:val="22"/>
              </w:rPr>
            </w:pPr>
            <w:r>
              <w:rPr>
                <w:sz w:val="22"/>
                <w:szCs w:val="22"/>
              </w:rPr>
              <w:t>Students will make a list of nouns and proper nouns.</w:t>
            </w:r>
          </w:p>
          <w:p w:rsidR="00B3422D" w:rsidRPr="00554901" w:rsidRDefault="00B3422D" w:rsidP="00963D2D">
            <w:pPr>
              <w:rPr>
                <w:sz w:val="22"/>
                <w:szCs w:val="22"/>
              </w:rPr>
            </w:pPr>
          </w:p>
        </w:tc>
        <w:tc>
          <w:tcPr>
            <w:tcW w:w="2614" w:type="dxa"/>
            <w:shd w:val="clear" w:color="auto" w:fill="auto"/>
          </w:tcPr>
          <w:p w:rsidR="00B3422D" w:rsidRPr="00554901" w:rsidRDefault="00B3422D" w:rsidP="00963D2D">
            <w:pPr>
              <w:rPr>
                <w:sz w:val="22"/>
                <w:szCs w:val="22"/>
              </w:rPr>
            </w:pPr>
            <w:r>
              <w:rPr>
                <w:sz w:val="22"/>
                <w:szCs w:val="22"/>
              </w:rPr>
              <w:t>Students will correct a paragraph with capitalization, punctuation marks, and incomplete or run-on sentences</w:t>
            </w:r>
          </w:p>
        </w:tc>
      </w:tr>
      <w:tr w:rsidR="00B3422D" w:rsidRPr="00554901" w:rsidTr="00963D2D">
        <w:tc>
          <w:tcPr>
            <w:tcW w:w="1548" w:type="dxa"/>
            <w:shd w:val="clear" w:color="auto" w:fill="auto"/>
          </w:tcPr>
          <w:p w:rsidR="00B3422D" w:rsidRPr="00554901" w:rsidRDefault="00B3422D" w:rsidP="00963D2D">
            <w:pPr>
              <w:rPr>
                <w:sz w:val="22"/>
                <w:szCs w:val="22"/>
              </w:rPr>
            </w:pPr>
            <w:r w:rsidRPr="00554901">
              <w:rPr>
                <w:sz w:val="22"/>
                <w:szCs w:val="22"/>
              </w:rPr>
              <w:t>Small group activities:</w:t>
            </w:r>
          </w:p>
        </w:tc>
        <w:tc>
          <w:tcPr>
            <w:tcW w:w="13068" w:type="dxa"/>
            <w:gridSpan w:val="5"/>
            <w:shd w:val="clear" w:color="auto" w:fill="auto"/>
          </w:tcPr>
          <w:p w:rsidR="00B3422D" w:rsidRDefault="00B3422D" w:rsidP="00963D2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10620"/>
            </w:tblGrid>
            <w:tr w:rsidR="00B3422D" w:rsidRPr="004A4386" w:rsidTr="00963D2D">
              <w:tc>
                <w:tcPr>
                  <w:tcW w:w="2137" w:type="dxa"/>
                </w:tcPr>
                <w:p w:rsidR="00B3422D" w:rsidRPr="004A4386" w:rsidRDefault="00B3422D" w:rsidP="00963D2D">
                  <w:pPr>
                    <w:jc w:val="center"/>
                    <w:rPr>
                      <w:rFonts w:eastAsia="Calibri"/>
                      <w:b/>
                      <w:sz w:val="18"/>
                      <w:szCs w:val="18"/>
                    </w:rPr>
                  </w:pPr>
                  <w:r w:rsidRPr="004A4386">
                    <w:rPr>
                      <w:rFonts w:eastAsia="Calibri"/>
                      <w:b/>
                      <w:sz w:val="18"/>
                      <w:szCs w:val="18"/>
                    </w:rPr>
                    <w:t>Activity</w:t>
                  </w:r>
                </w:p>
              </w:tc>
              <w:tc>
                <w:tcPr>
                  <w:tcW w:w="10620" w:type="dxa"/>
                </w:tcPr>
                <w:p w:rsidR="00B3422D" w:rsidRPr="004A4386" w:rsidRDefault="00B3422D" w:rsidP="00963D2D">
                  <w:pPr>
                    <w:jc w:val="center"/>
                    <w:rPr>
                      <w:rFonts w:eastAsia="Calibri"/>
                      <w:b/>
                      <w:sz w:val="18"/>
                      <w:szCs w:val="18"/>
                    </w:rPr>
                  </w:pPr>
                  <w:r w:rsidRPr="004A4386">
                    <w:rPr>
                      <w:rFonts w:eastAsia="Calibri"/>
                      <w:b/>
                      <w:sz w:val="18"/>
                      <w:szCs w:val="18"/>
                    </w:rPr>
                    <w:t>Description</w:t>
                  </w:r>
                </w:p>
              </w:tc>
            </w:tr>
            <w:tr w:rsidR="00B3422D" w:rsidRPr="004A4386" w:rsidTr="00963D2D">
              <w:tc>
                <w:tcPr>
                  <w:tcW w:w="2137" w:type="dxa"/>
                </w:tcPr>
                <w:p w:rsidR="00B3422D" w:rsidRPr="004A4386" w:rsidRDefault="00B3422D" w:rsidP="00963D2D">
                  <w:pPr>
                    <w:rPr>
                      <w:rFonts w:eastAsia="Calibri"/>
                      <w:b/>
                      <w:sz w:val="18"/>
                      <w:szCs w:val="18"/>
                    </w:rPr>
                  </w:pPr>
                  <w:r w:rsidRPr="004A4386">
                    <w:rPr>
                      <w:rFonts w:eastAsia="Calibri"/>
                      <w:b/>
                      <w:sz w:val="18"/>
                      <w:szCs w:val="18"/>
                    </w:rPr>
                    <w:t>Read Aloud</w:t>
                  </w:r>
                </w:p>
                <w:p w:rsidR="00B3422D" w:rsidRPr="004A4386" w:rsidRDefault="00B3422D" w:rsidP="00963D2D">
                  <w:pPr>
                    <w:rPr>
                      <w:rFonts w:eastAsia="Calibri"/>
                      <w:sz w:val="18"/>
                      <w:szCs w:val="18"/>
                    </w:rPr>
                  </w:pPr>
                  <w:r w:rsidRPr="004A4386">
                    <w:rPr>
                      <w:rFonts w:eastAsia="Calibri"/>
                      <w:sz w:val="18"/>
                      <w:szCs w:val="18"/>
                    </w:rPr>
                    <w:t>10 minutes</w:t>
                  </w:r>
                </w:p>
              </w:tc>
              <w:tc>
                <w:tcPr>
                  <w:tcW w:w="10620" w:type="dxa"/>
                </w:tcPr>
                <w:p w:rsidR="00B3422D" w:rsidRPr="004A4386" w:rsidRDefault="00B3422D" w:rsidP="00963D2D">
                  <w:pPr>
                    <w:pStyle w:val="ListParagraph"/>
                    <w:tabs>
                      <w:tab w:val="left" w:pos="8170"/>
                    </w:tabs>
                    <w:rPr>
                      <w:sz w:val="18"/>
                      <w:szCs w:val="18"/>
                    </w:rPr>
                  </w:pPr>
                  <w:r w:rsidRPr="004A4386">
                    <w:rPr>
                      <w:sz w:val="18"/>
                      <w:szCs w:val="18"/>
                    </w:rPr>
                    <w:t>The teacher will read a story aloud to serve as a guide and model to teach children to write like other authors based on the skills and strategies taught during the mini lesson and through award winning books that teach students how to learn specific strategies for writing well</w:t>
                  </w:r>
                </w:p>
              </w:tc>
            </w:tr>
            <w:tr w:rsidR="00B3422D" w:rsidRPr="004A4386" w:rsidTr="00963D2D">
              <w:tc>
                <w:tcPr>
                  <w:tcW w:w="2137" w:type="dxa"/>
                </w:tcPr>
                <w:p w:rsidR="00B3422D" w:rsidRPr="004A4386" w:rsidRDefault="00B3422D" w:rsidP="00963D2D">
                  <w:pPr>
                    <w:rPr>
                      <w:rFonts w:eastAsia="Calibri"/>
                      <w:b/>
                      <w:sz w:val="18"/>
                      <w:szCs w:val="18"/>
                    </w:rPr>
                  </w:pPr>
                  <w:r w:rsidRPr="004A4386">
                    <w:rPr>
                      <w:rFonts w:eastAsia="Calibri"/>
                      <w:b/>
                      <w:sz w:val="18"/>
                      <w:szCs w:val="18"/>
                    </w:rPr>
                    <w:t>Mini Lesson</w:t>
                  </w:r>
                </w:p>
                <w:p w:rsidR="00B3422D" w:rsidRPr="004A4386" w:rsidRDefault="00B3422D" w:rsidP="00963D2D">
                  <w:pPr>
                    <w:rPr>
                      <w:rFonts w:eastAsia="Calibri"/>
                      <w:sz w:val="18"/>
                      <w:szCs w:val="18"/>
                    </w:rPr>
                  </w:pPr>
                  <w:r w:rsidRPr="004A4386">
                    <w:rPr>
                      <w:rFonts w:eastAsia="Calibri"/>
                      <w:sz w:val="18"/>
                      <w:szCs w:val="18"/>
                    </w:rPr>
                    <w:t>10 minutes</w:t>
                  </w:r>
                </w:p>
              </w:tc>
              <w:tc>
                <w:tcPr>
                  <w:tcW w:w="10620" w:type="dxa"/>
                </w:tcPr>
                <w:p w:rsidR="00B3422D" w:rsidRPr="004A4386" w:rsidRDefault="00B3422D" w:rsidP="00963D2D">
                  <w:pPr>
                    <w:numPr>
                      <w:ilvl w:val="0"/>
                      <w:numId w:val="1"/>
                    </w:numPr>
                    <w:rPr>
                      <w:rFonts w:eastAsia="Calibri"/>
                      <w:sz w:val="18"/>
                      <w:szCs w:val="18"/>
                    </w:rPr>
                  </w:pPr>
                  <w:r w:rsidRPr="004A4386">
                    <w:rPr>
                      <w:rFonts w:eastAsia="Calibri"/>
                      <w:sz w:val="18"/>
                      <w:szCs w:val="18"/>
                    </w:rPr>
                    <w:t>The teacher will explicitly teach skills and strategies in writers craft following the conventions of mini lessons and mini lesson in writers craft of writing from Guided Readers and Writers</w:t>
                  </w:r>
                </w:p>
              </w:tc>
            </w:tr>
            <w:tr w:rsidR="00B3422D" w:rsidRPr="004A4386" w:rsidTr="00963D2D">
              <w:tc>
                <w:tcPr>
                  <w:tcW w:w="2137" w:type="dxa"/>
                </w:tcPr>
                <w:p w:rsidR="00B3422D" w:rsidRPr="004A4386" w:rsidRDefault="00B3422D" w:rsidP="00963D2D">
                  <w:pPr>
                    <w:rPr>
                      <w:rFonts w:eastAsia="Calibri"/>
                      <w:b/>
                      <w:sz w:val="18"/>
                      <w:szCs w:val="18"/>
                    </w:rPr>
                  </w:pPr>
                  <w:r w:rsidRPr="004A4386">
                    <w:rPr>
                      <w:rFonts w:eastAsia="Calibri"/>
                      <w:b/>
                      <w:sz w:val="18"/>
                      <w:szCs w:val="18"/>
                    </w:rPr>
                    <w:t>Independent Writing</w:t>
                  </w:r>
                </w:p>
                <w:p w:rsidR="00B3422D" w:rsidRPr="004A4386" w:rsidRDefault="00B3422D" w:rsidP="00963D2D">
                  <w:pPr>
                    <w:rPr>
                      <w:rFonts w:eastAsia="Calibri"/>
                      <w:sz w:val="18"/>
                      <w:szCs w:val="18"/>
                    </w:rPr>
                  </w:pPr>
                  <w:r w:rsidRPr="004A4386">
                    <w:rPr>
                      <w:rFonts w:eastAsia="Calibri"/>
                      <w:sz w:val="18"/>
                      <w:szCs w:val="18"/>
                    </w:rPr>
                    <w:t>40 minutes</w:t>
                  </w:r>
                </w:p>
              </w:tc>
              <w:tc>
                <w:tcPr>
                  <w:tcW w:w="10620" w:type="dxa"/>
                </w:tcPr>
                <w:p w:rsidR="00B3422D" w:rsidRPr="004A4386" w:rsidRDefault="00B3422D" w:rsidP="00963D2D">
                  <w:pPr>
                    <w:numPr>
                      <w:ilvl w:val="0"/>
                      <w:numId w:val="2"/>
                    </w:numPr>
                    <w:rPr>
                      <w:rFonts w:eastAsia="Calibri"/>
                      <w:sz w:val="18"/>
                      <w:szCs w:val="18"/>
                    </w:rPr>
                  </w:pPr>
                  <w:r w:rsidRPr="004A4386">
                    <w:rPr>
                      <w:rFonts w:eastAsia="Calibri"/>
                      <w:sz w:val="18"/>
                      <w:szCs w:val="18"/>
                    </w:rPr>
                    <w:t xml:space="preserve">Students will be doing independent (self-selected genre) writing in each of the 5 areas and will be given the time and opportunity to cycle through the different stages </w:t>
                  </w:r>
                </w:p>
                <w:p w:rsidR="00B3422D" w:rsidRPr="004A4386" w:rsidRDefault="00B3422D" w:rsidP="00963D2D">
                  <w:pPr>
                    <w:numPr>
                      <w:ilvl w:val="0"/>
                      <w:numId w:val="3"/>
                    </w:numPr>
                    <w:rPr>
                      <w:rFonts w:eastAsia="Calibri"/>
                      <w:sz w:val="18"/>
                      <w:szCs w:val="18"/>
                    </w:rPr>
                  </w:pPr>
                  <w:r w:rsidRPr="004A4386">
                    <w:rPr>
                      <w:rFonts w:eastAsia="Calibri"/>
                      <w:b/>
                      <w:sz w:val="18"/>
                      <w:szCs w:val="18"/>
                      <w:u w:val="single"/>
                    </w:rPr>
                    <w:t>Prewriting:</w:t>
                  </w:r>
                  <w:r w:rsidRPr="004A4386">
                    <w:rPr>
                      <w:rFonts w:eastAsia="Calibri"/>
                      <w:sz w:val="18"/>
                      <w:szCs w:val="18"/>
                    </w:rPr>
                    <w:t xml:space="preserve"> Journal idea, think, read, research</w:t>
                  </w:r>
                </w:p>
                <w:p w:rsidR="00B3422D" w:rsidRPr="004A4386" w:rsidRDefault="00B3422D" w:rsidP="00963D2D">
                  <w:pPr>
                    <w:numPr>
                      <w:ilvl w:val="0"/>
                      <w:numId w:val="3"/>
                    </w:numPr>
                    <w:rPr>
                      <w:rFonts w:eastAsia="Calibri"/>
                      <w:sz w:val="18"/>
                      <w:szCs w:val="18"/>
                    </w:rPr>
                  </w:pPr>
                  <w:r w:rsidRPr="004A4386">
                    <w:rPr>
                      <w:rFonts w:eastAsia="Calibri"/>
                      <w:b/>
                      <w:sz w:val="18"/>
                      <w:szCs w:val="18"/>
                      <w:u w:val="single"/>
                    </w:rPr>
                    <w:t>Drafting:</w:t>
                  </w:r>
                  <w:r w:rsidRPr="004A4386">
                    <w:rPr>
                      <w:rFonts w:eastAsia="Calibri"/>
                      <w:sz w:val="18"/>
                      <w:szCs w:val="18"/>
                    </w:rPr>
                    <w:t xml:space="preserve"> independently write a sloppy copy</w:t>
                  </w:r>
                </w:p>
                <w:p w:rsidR="00B3422D" w:rsidRPr="004A4386" w:rsidRDefault="00B3422D" w:rsidP="00963D2D">
                  <w:pPr>
                    <w:numPr>
                      <w:ilvl w:val="0"/>
                      <w:numId w:val="3"/>
                    </w:numPr>
                    <w:rPr>
                      <w:rFonts w:eastAsia="Calibri"/>
                      <w:sz w:val="18"/>
                      <w:szCs w:val="18"/>
                    </w:rPr>
                  </w:pPr>
                  <w:r w:rsidRPr="004A4386">
                    <w:rPr>
                      <w:rFonts w:eastAsia="Calibri"/>
                      <w:b/>
                      <w:sz w:val="18"/>
                      <w:szCs w:val="18"/>
                      <w:u w:val="single"/>
                    </w:rPr>
                    <w:t>Revising:</w:t>
                  </w:r>
                  <w:r w:rsidRPr="004A4386">
                    <w:rPr>
                      <w:rFonts w:eastAsia="Calibri"/>
                      <w:sz w:val="18"/>
                      <w:szCs w:val="18"/>
                    </w:rPr>
                    <w:t xml:space="preserve"> peer revision BIG changes, sequence, ask: Does this make sense? (teacher will be working with students here performing mini conferences with students)</w:t>
                  </w:r>
                </w:p>
                <w:p w:rsidR="00B3422D" w:rsidRPr="004A4386" w:rsidRDefault="00B3422D" w:rsidP="00963D2D">
                  <w:pPr>
                    <w:numPr>
                      <w:ilvl w:val="0"/>
                      <w:numId w:val="3"/>
                    </w:numPr>
                    <w:rPr>
                      <w:rFonts w:eastAsia="Calibri"/>
                      <w:sz w:val="18"/>
                      <w:szCs w:val="18"/>
                    </w:rPr>
                  </w:pPr>
                  <w:r w:rsidRPr="004A4386">
                    <w:rPr>
                      <w:rFonts w:eastAsia="Calibri"/>
                      <w:b/>
                      <w:sz w:val="18"/>
                      <w:szCs w:val="18"/>
                      <w:u w:val="single"/>
                    </w:rPr>
                    <w:t>Editing:</w:t>
                  </w:r>
                  <w:r w:rsidRPr="004A4386">
                    <w:rPr>
                      <w:rFonts w:eastAsia="Calibri"/>
                      <w:sz w:val="18"/>
                      <w:szCs w:val="18"/>
                    </w:rPr>
                    <w:t xml:space="preserve"> edit your work, correct spelling and grammar mistakes</w:t>
                  </w:r>
                </w:p>
                <w:p w:rsidR="00B3422D" w:rsidRPr="004A4386" w:rsidRDefault="00B3422D" w:rsidP="00963D2D">
                  <w:pPr>
                    <w:numPr>
                      <w:ilvl w:val="0"/>
                      <w:numId w:val="3"/>
                    </w:numPr>
                    <w:rPr>
                      <w:rFonts w:eastAsia="Calibri"/>
                      <w:sz w:val="18"/>
                      <w:szCs w:val="18"/>
                    </w:rPr>
                  </w:pPr>
                  <w:r w:rsidRPr="004A4386">
                    <w:rPr>
                      <w:rFonts w:eastAsia="Calibri"/>
                      <w:b/>
                      <w:sz w:val="18"/>
                      <w:szCs w:val="18"/>
                      <w:u w:val="single"/>
                    </w:rPr>
                    <w:t>Publishing:</w:t>
                  </w:r>
                  <w:r w:rsidRPr="004A4386">
                    <w:rPr>
                      <w:rFonts w:eastAsia="Calibri"/>
                      <w:sz w:val="18"/>
                      <w:szCs w:val="18"/>
                    </w:rPr>
                    <w:t xml:space="preserve"> final copy, technology/word processing, crayons glue, fancy paper</w:t>
                  </w:r>
                </w:p>
              </w:tc>
            </w:tr>
            <w:tr w:rsidR="00B3422D" w:rsidRPr="004A4386" w:rsidTr="00963D2D">
              <w:tc>
                <w:tcPr>
                  <w:tcW w:w="2137" w:type="dxa"/>
                </w:tcPr>
                <w:p w:rsidR="00B3422D" w:rsidRPr="004A4386" w:rsidRDefault="00B3422D" w:rsidP="00963D2D">
                  <w:pPr>
                    <w:rPr>
                      <w:rFonts w:eastAsia="Calibri"/>
                      <w:b/>
                      <w:sz w:val="18"/>
                      <w:szCs w:val="18"/>
                    </w:rPr>
                  </w:pPr>
                  <w:r w:rsidRPr="004A4386">
                    <w:rPr>
                      <w:rFonts w:eastAsia="Calibri"/>
                      <w:b/>
                      <w:sz w:val="18"/>
                      <w:szCs w:val="18"/>
                    </w:rPr>
                    <w:t xml:space="preserve">Share Time </w:t>
                  </w:r>
                </w:p>
                <w:p w:rsidR="00B3422D" w:rsidRPr="004A4386" w:rsidRDefault="00B3422D" w:rsidP="00963D2D">
                  <w:pPr>
                    <w:rPr>
                      <w:rFonts w:eastAsia="Calibri"/>
                      <w:sz w:val="18"/>
                      <w:szCs w:val="18"/>
                    </w:rPr>
                  </w:pPr>
                  <w:r w:rsidRPr="004A4386">
                    <w:rPr>
                      <w:rFonts w:eastAsia="Calibri"/>
                      <w:sz w:val="18"/>
                      <w:szCs w:val="18"/>
                    </w:rPr>
                    <w:t xml:space="preserve">10 minutes </w:t>
                  </w:r>
                </w:p>
              </w:tc>
              <w:tc>
                <w:tcPr>
                  <w:tcW w:w="10620" w:type="dxa"/>
                </w:tcPr>
                <w:p w:rsidR="00B3422D" w:rsidRPr="004A4386" w:rsidRDefault="00B3422D" w:rsidP="00963D2D">
                  <w:pPr>
                    <w:numPr>
                      <w:ilvl w:val="0"/>
                      <w:numId w:val="2"/>
                    </w:numPr>
                    <w:rPr>
                      <w:rFonts w:eastAsia="Calibri"/>
                      <w:sz w:val="18"/>
                      <w:szCs w:val="18"/>
                    </w:rPr>
                  </w:pPr>
                  <w:r w:rsidRPr="004A4386">
                    <w:rPr>
                      <w:rFonts w:eastAsia="Calibri"/>
                      <w:sz w:val="18"/>
                      <w:szCs w:val="18"/>
                    </w:rPr>
                    <w:t xml:space="preserve">Students will be given the opportunity to share their work at whatever stage they may be </w:t>
                  </w:r>
                </w:p>
              </w:tc>
            </w:tr>
          </w:tbl>
          <w:p w:rsidR="00B3422D" w:rsidRDefault="00B3422D" w:rsidP="00963D2D">
            <w:pPr>
              <w:rPr>
                <w:sz w:val="22"/>
                <w:szCs w:val="22"/>
              </w:rPr>
            </w:pPr>
          </w:p>
          <w:p w:rsidR="00B3422D" w:rsidRPr="00554901" w:rsidRDefault="00B3422D" w:rsidP="00963D2D">
            <w:pPr>
              <w:rPr>
                <w:sz w:val="22"/>
                <w:szCs w:val="22"/>
              </w:rPr>
            </w:pPr>
          </w:p>
        </w:tc>
      </w:tr>
      <w:tr w:rsidR="00232EFF" w:rsidRPr="00554901" w:rsidTr="00232EFF">
        <w:trPr>
          <w:trHeight w:val="704"/>
        </w:trPr>
        <w:tc>
          <w:tcPr>
            <w:tcW w:w="1548" w:type="dxa"/>
            <w:shd w:val="clear" w:color="auto" w:fill="auto"/>
          </w:tcPr>
          <w:p w:rsidR="00232EFF" w:rsidRDefault="00232EFF" w:rsidP="00963D2D">
            <w:pPr>
              <w:rPr>
                <w:sz w:val="22"/>
                <w:szCs w:val="22"/>
              </w:rPr>
            </w:pPr>
            <w:r w:rsidRPr="00554901">
              <w:rPr>
                <w:sz w:val="22"/>
                <w:szCs w:val="22"/>
              </w:rPr>
              <w:lastRenderedPageBreak/>
              <w:t>Assessments</w:t>
            </w:r>
          </w:p>
          <w:p w:rsidR="00232EFF" w:rsidRPr="00554901" w:rsidRDefault="00232EFF" w:rsidP="00963D2D">
            <w:pPr>
              <w:rPr>
                <w:sz w:val="22"/>
                <w:szCs w:val="22"/>
              </w:rPr>
            </w:pPr>
          </w:p>
        </w:tc>
        <w:tc>
          <w:tcPr>
            <w:tcW w:w="2613" w:type="dxa"/>
            <w:shd w:val="clear" w:color="auto" w:fill="auto"/>
          </w:tcPr>
          <w:p w:rsidR="00232EFF" w:rsidRDefault="00232EFF" w:rsidP="00963D2D">
            <w:pPr>
              <w:rPr>
                <w:sz w:val="22"/>
                <w:szCs w:val="22"/>
              </w:rPr>
            </w:pPr>
            <w:r w:rsidRPr="00554901">
              <w:rPr>
                <w:sz w:val="22"/>
                <w:szCs w:val="22"/>
              </w:rPr>
              <w:t>Exit Slip Question:</w:t>
            </w:r>
          </w:p>
          <w:p w:rsidR="00232EFF" w:rsidRDefault="00232EFF" w:rsidP="00963D2D">
            <w:pPr>
              <w:rPr>
                <w:sz w:val="22"/>
                <w:szCs w:val="22"/>
              </w:rPr>
            </w:pPr>
            <w:r>
              <w:rPr>
                <w:sz w:val="22"/>
                <w:szCs w:val="22"/>
              </w:rPr>
              <w:t>Why does a sentence need a subject? Why does a sentence need a predicate?</w:t>
            </w:r>
          </w:p>
          <w:p w:rsidR="00232EFF" w:rsidRPr="00554901" w:rsidRDefault="00232EFF" w:rsidP="00963D2D">
            <w:pPr>
              <w:rPr>
                <w:sz w:val="22"/>
                <w:szCs w:val="22"/>
              </w:rPr>
            </w:pPr>
          </w:p>
        </w:tc>
        <w:tc>
          <w:tcPr>
            <w:tcW w:w="2614" w:type="dxa"/>
            <w:shd w:val="clear" w:color="auto" w:fill="auto"/>
          </w:tcPr>
          <w:p w:rsidR="00232EFF" w:rsidRDefault="00232EFF" w:rsidP="00963D2D">
            <w:pPr>
              <w:rPr>
                <w:sz w:val="22"/>
                <w:szCs w:val="22"/>
              </w:rPr>
            </w:pPr>
            <w:r w:rsidRPr="00554901">
              <w:rPr>
                <w:sz w:val="22"/>
                <w:szCs w:val="22"/>
              </w:rPr>
              <w:t>Exit Slip Question:</w:t>
            </w:r>
          </w:p>
          <w:p w:rsidR="00232EFF" w:rsidRDefault="00232EFF" w:rsidP="00963D2D">
            <w:pPr>
              <w:rPr>
                <w:sz w:val="22"/>
                <w:szCs w:val="22"/>
              </w:rPr>
            </w:pPr>
            <w:r>
              <w:rPr>
                <w:sz w:val="22"/>
                <w:szCs w:val="22"/>
              </w:rPr>
              <w:t>What can we do to a run-on sentence?</w:t>
            </w:r>
          </w:p>
          <w:p w:rsidR="00232EFF" w:rsidRPr="00554901" w:rsidRDefault="00232EFF" w:rsidP="00963D2D">
            <w:pPr>
              <w:rPr>
                <w:sz w:val="22"/>
                <w:szCs w:val="22"/>
              </w:rPr>
            </w:pPr>
          </w:p>
        </w:tc>
        <w:tc>
          <w:tcPr>
            <w:tcW w:w="2613" w:type="dxa"/>
            <w:shd w:val="clear" w:color="auto" w:fill="auto"/>
          </w:tcPr>
          <w:p w:rsidR="00232EFF" w:rsidRDefault="00232EFF" w:rsidP="00963D2D">
            <w:pPr>
              <w:rPr>
                <w:sz w:val="22"/>
                <w:szCs w:val="22"/>
              </w:rPr>
            </w:pPr>
            <w:r w:rsidRPr="00554901">
              <w:rPr>
                <w:sz w:val="22"/>
                <w:szCs w:val="22"/>
              </w:rPr>
              <w:t>Exit Slip Question:</w:t>
            </w:r>
          </w:p>
          <w:p w:rsidR="00232EFF" w:rsidRDefault="00232EFF" w:rsidP="00963D2D">
            <w:pPr>
              <w:rPr>
                <w:sz w:val="22"/>
                <w:szCs w:val="22"/>
              </w:rPr>
            </w:pPr>
            <w:r>
              <w:rPr>
                <w:sz w:val="22"/>
                <w:szCs w:val="22"/>
              </w:rPr>
              <w:t>Why are punctuation marks important?</w:t>
            </w:r>
          </w:p>
          <w:p w:rsidR="00976ADB" w:rsidRPr="00554901" w:rsidRDefault="00976ADB" w:rsidP="00963D2D">
            <w:pPr>
              <w:rPr>
                <w:sz w:val="22"/>
                <w:szCs w:val="22"/>
              </w:rPr>
            </w:pPr>
          </w:p>
        </w:tc>
        <w:tc>
          <w:tcPr>
            <w:tcW w:w="2614" w:type="dxa"/>
            <w:shd w:val="clear" w:color="auto" w:fill="auto"/>
          </w:tcPr>
          <w:p w:rsidR="00232EFF" w:rsidRDefault="00232EFF" w:rsidP="00963D2D">
            <w:pPr>
              <w:rPr>
                <w:sz w:val="22"/>
                <w:szCs w:val="22"/>
              </w:rPr>
            </w:pPr>
            <w:r>
              <w:rPr>
                <w:sz w:val="22"/>
                <w:szCs w:val="22"/>
              </w:rPr>
              <w:t>Exit Slip Question:</w:t>
            </w:r>
          </w:p>
          <w:p w:rsidR="00232EFF" w:rsidRDefault="00232EFF" w:rsidP="00963D2D">
            <w:pPr>
              <w:rPr>
                <w:sz w:val="22"/>
                <w:szCs w:val="22"/>
              </w:rPr>
            </w:pPr>
            <w:r>
              <w:rPr>
                <w:sz w:val="22"/>
                <w:szCs w:val="22"/>
              </w:rPr>
              <w:t xml:space="preserve">When do we use capital letters? </w:t>
            </w:r>
          </w:p>
          <w:p w:rsidR="00976ADB" w:rsidRPr="00554901" w:rsidRDefault="00976ADB" w:rsidP="00963D2D">
            <w:pPr>
              <w:rPr>
                <w:sz w:val="22"/>
                <w:szCs w:val="22"/>
              </w:rPr>
            </w:pPr>
          </w:p>
        </w:tc>
        <w:tc>
          <w:tcPr>
            <w:tcW w:w="2614" w:type="dxa"/>
            <w:shd w:val="clear" w:color="auto" w:fill="auto"/>
          </w:tcPr>
          <w:p w:rsidR="00232EFF" w:rsidRDefault="00232EFF" w:rsidP="00963D2D">
            <w:pPr>
              <w:rPr>
                <w:sz w:val="22"/>
                <w:szCs w:val="22"/>
              </w:rPr>
            </w:pPr>
            <w:r>
              <w:rPr>
                <w:sz w:val="22"/>
                <w:szCs w:val="22"/>
              </w:rPr>
              <w:t>Exit Slip Question:</w:t>
            </w:r>
          </w:p>
          <w:p w:rsidR="00232EFF" w:rsidRDefault="00232EFF" w:rsidP="00963D2D">
            <w:pPr>
              <w:rPr>
                <w:sz w:val="22"/>
                <w:szCs w:val="22"/>
              </w:rPr>
            </w:pPr>
            <w:r>
              <w:rPr>
                <w:sz w:val="22"/>
                <w:szCs w:val="22"/>
              </w:rPr>
              <w:t xml:space="preserve">Why is it important to use capital letters, punctuation marks, and write in complete sentences? </w:t>
            </w:r>
          </w:p>
          <w:p w:rsidR="00976ADB" w:rsidRPr="00554901" w:rsidRDefault="00976ADB" w:rsidP="00963D2D">
            <w:pPr>
              <w:rPr>
                <w:sz w:val="22"/>
                <w:szCs w:val="22"/>
              </w:rPr>
            </w:pPr>
          </w:p>
        </w:tc>
      </w:tr>
      <w:tr w:rsidR="00976ADB" w:rsidRPr="00554901" w:rsidTr="00976ADB">
        <w:trPr>
          <w:trHeight w:val="809"/>
        </w:trPr>
        <w:tc>
          <w:tcPr>
            <w:tcW w:w="1548" w:type="dxa"/>
            <w:shd w:val="clear" w:color="auto" w:fill="auto"/>
          </w:tcPr>
          <w:p w:rsidR="00976ADB" w:rsidRPr="00554901" w:rsidRDefault="00976ADB" w:rsidP="00963D2D">
            <w:pPr>
              <w:rPr>
                <w:sz w:val="22"/>
                <w:szCs w:val="22"/>
              </w:rPr>
            </w:pPr>
            <w:r>
              <w:rPr>
                <w:sz w:val="22"/>
                <w:szCs w:val="22"/>
              </w:rPr>
              <w:t xml:space="preserve">Materials and resources </w:t>
            </w:r>
            <w:r w:rsidR="00B825ED">
              <w:rPr>
                <w:sz w:val="22"/>
                <w:szCs w:val="22"/>
              </w:rPr>
              <w:t>Books</w:t>
            </w:r>
          </w:p>
        </w:tc>
        <w:tc>
          <w:tcPr>
            <w:tcW w:w="13068" w:type="dxa"/>
            <w:gridSpan w:val="5"/>
            <w:shd w:val="clear" w:color="auto" w:fill="auto"/>
          </w:tcPr>
          <w:p w:rsidR="00976ADB" w:rsidRDefault="00976ADB" w:rsidP="00976ADB">
            <w:pPr>
              <w:rPr>
                <w:sz w:val="22"/>
                <w:szCs w:val="22"/>
              </w:rPr>
            </w:pPr>
            <w:r>
              <w:rPr>
                <w:sz w:val="22"/>
                <w:szCs w:val="22"/>
              </w:rPr>
              <w:t xml:space="preserve">Writing notebooks,  </w:t>
            </w:r>
            <w:r>
              <w:rPr>
                <w:sz w:val="22"/>
                <w:szCs w:val="22"/>
              </w:rPr>
              <w:t>Writer’s Workshop</w:t>
            </w:r>
            <w:r w:rsidR="00B825ED">
              <w:rPr>
                <w:sz w:val="22"/>
                <w:szCs w:val="22"/>
              </w:rPr>
              <w:t>, Avenues book for ESL portion</w:t>
            </w:r>
          </w:p>
          <w:p w:rsidR="00976ADB" w:rsidRDefault="00976ADB" w:rsidP="00976ADB">
            <w:pPr>
              <w:rPr>
                <w:sz w:val="22"/>
                <w:szCs w:val="22"/>
              </w:rPr>
            </w:pPr>
            <w:r>
              <w:rPr>
                <w:sz w:val="22"/>
                <w:szCs w:val="22"/>
              </w:rPr>
              <w:t xml:space="preserve">Guided Readers and Writers,  </w:t>
            </w:r>
            <w:r>
              <w:rPr>
                <w:sz w:val="22"/>
                <w:szCs w:val="22"/>
              </w:rPr>
              <w:t>Writing Workshop by Lucy Calkins</w:t>
            </w:r>
          </w:p>
          <w:p w:rsidR="00976ADB" w:rsidRDefault="00976ADB" w:rsidP="00963D2D">
            <w:pPr>
              <w:rPr>
                <w:sz w:val="22"/>
                <w:szCs w:val="22"/>
              </w:rPr>
            </w:pPr>
            <w:hyperlink r:id="rId6" w:history="1">
              <w:r w:rsidRPr="001330A7">
                <w:rPr>
                  <w:rStyle w:val="Hyperlink"/>
                  <w:sz w:val="22"/>
                  <w:szCs w:val="22"/>
                </w:rPr>
                <w:t>www.edhelper.com</w:t>
              </w:r>
            </w:hyperlink>
            <w:r>
              <w:rPr>
                <w:sz w:val="22"/>
                <w:szCs w:val="22"/>
              </w:rPr>
              <w:t xml:space="preserve">,  Smartboard,  Laptop,  </w:t>
            </w:r>
            <w:r w:rsidRPr="00976ADB">
              <w:rPr>
                <w:sz w:val="22"/>
                <w:szCs w:val="22"/>
              </w:rPr>
              <w:t>Projector</w:t>
            </w:r>
          </w:p>
        </w:tc>
      </w:tr>
      <w:tr w:rsidR="00976ADB" w:rsidRPr="00554901" w:rsidTr="00F31451">
        <w:trPr>
          <w:trHeight w:val="1130"/>
        </w:trPr>
        <w:tc>
          <w:tcPr>
            <w:tcW w:w="1548" w:type="dxa"/>
            <w:shd w:val="clear" w:color="auto" w:fill="auto"/>
          </w:tcPr>
          <w:p w:rsidR="00976ADB" w:rsidRDefault="00B825ED" w:rsidP="00963D2D">
            <w:pPr>
              <w:rPr>
                <w:sz w:val="22"/>
                <w:szCs w:val="22"/>
              </w:rPr>
            </w:pPr>
            <w:r>
              <w:rPr>
                <w:sz w:val="22"/>
                <w:szCs w:val="22"/>
              </w:rPr>
              <w:t>Homework</w:t>
            </w:r>
          </w:p>
        </w:tc>
        <w:tc>
          <w:tcPr>
            <w:tcW w:w="2613" w:type="dxa"/>
            <w:shd w:val="clear" w:color="auto" w:fill="auto"/>
          </w:tcPr>
          <w:p w:rsidR="00976ADB" w:rsidRDefault="00B825ED" w:rsidP="00976ADB">
            <w:pPr>
              <w:rPr>
                <w:sz w:val="22"/>
                <w:szCs w:val="22"/>
              </w:rPr>
            </w:pPr>
            <w:r>
              <w:rPr>
                <w:sz w:val="22"/>
                <w:szCs w:val="22"/>
              </w:rPr>
              <w:t>Vocabulary activity</w:t>
            </w:r>
          </w:p>
          <w:p w:rsidR="00B825ED" w:rsidRDefault="00B825ED" w:rsidP="00976ADB">
            <w:pPr>
              <w:rPr>
                <w:sz w:val="22"/>
                <w:szCs w:val="22"/>
              </w:rPr>
            </w:pPr>
            <w:r>
              <w:rPr>
                <w:sz w:val="22"/>
                <w:szCs w:val="22"/>
              </w:rPr>
              <w:t>Activity sheet circle subjects, underline predicates</w:t>
            </w:r>
          </w:p>
        </w:tc>
        <w:tc>
          <w:tcPr>
            <w:tcW w:w="2614" w:type="dxa"/>
            <w:shd w:val="clear" w:color="auto" w:fill="auto"/>
          </w:tcPr>
          <w:p w:rsidR="00976ADB" w:rsidRDefault="00B825ED" w:rsidP="00976ADB">
            <w:pPr>
              <w:rPr>
                <w:sz w:val="22"/>
                <w:szCs w:val="22"/>
              </w:rPr>
            </w:pPr>
            <w:r>
              <w:rPr>
                <w:sz w:val="22"/>
                <w:szCs w:val="22"/>
              </w:rPr>
              <w:t>Part 1 questions</w:t>
            </w:r>
          </w:p>
          <w:p w:rsidR="00B825ED" w:rsidRDefault="00B825ED" w:rsidP="00976ADB">
            <w:pPr>
              <w:rPr>
                <w:sz w:val="22"/>
                <w:szCs w:val="22"/>
              </w:rPr>
            </w:pPr>
            <w:r>
              <w:rPr>
                <w:sz w:val="22"/>
                <w:szCs w:val="22"/>
              </w:rPr>
              <w:t xml:space="preserve">Activity sheet break up run on sentences </w:t>
            </w:r>
          </w:p>
        </w:tc>
        <w:tc>
          <w:tcPr>
            <w:tcW w:w="2613" w:type="dxa"/>
            <w:shd w:val="clear" w:color="auto" w:fill="auto"/>
          </w:tcPr>
          <w:p w:rsidR="00976ADB" w:rsidRDefault="00B825ED" w:rsidP="00976ADB">
            <w:pPr>
              <w:rPr>
                <w:sz w:val="22"/>
                <w:szCs w:val="22"/>
              </w:rPr>
            </w:pPr>
            <w:r>
              <w:rPr>
                <w:sz w:val="22"/>
                <w:szCs w:val="22"/>
              </w:rPr>
              <w:t>Part 2 questions</w:t>
            </w:r>
          </w:p>
          <w:p w:rsidR="00B825ED" w:rsidRDefault="00B825ED" w:rsidP="00976ADB">
            <w:pPr>
              <w:rPr>
                <w:sz w:val="22"/>
                <w:szCs w:val="22"/>
              </w:rPr>
            </w:pPr>
            <w:r>
              <w:rPr>
                <w:sz w:val="22"/>
                <w:szCs w:val="22"/>
              </w:rPr>
              <w:t>Activity sheet naming the different types of sentences</w:t>
            </w:r>
          </w:p>
        </w:tc>
        <w:tc>
          <w:tcPr>
            <w:tcW w:w="2614" w:type="dxa"/>
            <w:shd w:val="clear" w:color="auto" w:fill="auto"/>
          </w:tcPr>
          <w:p w:rsidR="00976ADB" w:rsidRDefault="00B825ED" w:rsidP="00976ADB">
            <w:pPr>
              <w:rPr>
                <w:sz w:val="22"/>
                <w:szCs w:val="22"/>
              </w:rPr>
            </w:pPr>
            <w:r>
              <w:rPr>
                <w:sz w:val="22"/>
                <w:szCs w:val="22"/>
              </w:rPr>
              <w:t xml:space="preserve">End of story questions </w:t>
            </w:r>
          </w:p>
          <w:p w:rsidR="00B825ED" w:rsidRDefault="00B825ED" w:rsidP="00976ADB">
            <w:pPr>
              <w:rPr>
                <w:sz w:val="22"/>
                <w:szCs w:val="22"/>
              </w:rPr>
            </w:pPr>
            <w:r>
              <w:rPr>
                <w:sz w:val="22"/>
                <w:szCs w:val="22"/>
              </w:rPr>
              <w:t>Activity sheet</w:t>
            </w:r>
            <w:r w:rsidR="00E63E4F">
              <w:rPr>
                <w:sz w:val="22"/>
                <w:szCs w:val="22"/>
              </w:rPr>
              <w:t xml:space="preserve"> naming </w:t>
            </w:r>
            <w:proofErr w:type="gramStart"/>
            <w:r w:rsidR="00E63E4F">
              <w:rPr>
                <w:sz w:val="22"/>
                <w:szCs w:val="22"/>
              </w:rPr>
              <w:t>nouns  in</w:t>
            </w:r>
            <w:proofErr w:type="gramEnd"/>
            <w:r w:rsidR="00E63E4F">
              <w:rPr>
                <w:sz w:val="22"/>
                <w:szCs w:val="22"/>
              </w:rPr>
              <w:t xml:space="preserve"> the park, home and a store. </w:t>
            </w:r>
          </w:p>
          <w:p w:rsidR="00B825ED" w:rsidRDefault="00B825ED" w:rsidP="00976ADB">
            <w:pPr>
              <w:rPr>
                <w:sz w:val="22"/>
                <w:szCs w:val="22"/>
              </w:rPr>
            </w:pPr>
          </w:p>
        </w:tc>
        <w:tc>
          <w:tcPr>
            <w:tcW w:w="2614" w:type="dxa"/>
            <w:shd w:val="clear" w:color="auto" w:fill="auto"/>
          </w:tcPr>
          <w:p w:rsidR="00976ADB" w:rsidRDefault="00976ADB" w:rsidP="00976ADB">
            <w:pPr>
              <w:rPr>
                <w:sz w:val="22"/>
                <w:szCs w:val="22"/>
              </w:rPr>
            </w:pPr>
            <w:bookmarkStart w:id="0" w:name="_GoBack"/>
            <w:bookmarkEnd w:id="0"/>
          </w:p>
        </w:tc>
      </w:tr>
    </w:tbl>
    <w:p w:rsidR="00B3422D" w:rsidRDefault="00B3422D"/>
    <w:sectPr w:rsidR="00B3422D" w:rsidSect="00B342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51B"/>
    <w:multiLevelType w:val="hybridMultilevel"/>
    <w:tmpl w:val="D23E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F7648"/>
    <w:multiLevelType w:val="hybridMultilevel"/>
    <w:tmpl w:val="9836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555AD"/>
    <w:multiLevelType w:val="hybridMultilevel"/>
    <w:tmpl w:val="3B162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2D"/>
    <w:rsid w:val="00232EFF"/>
    <w:rsid w:val="00503276"/>
    <w:rsid w:val="008A6C26"/>
    <w:rsid w:val="00976ADB"/>
    <w:rsid w:val="00B3422D"/>
    <w:rsid w:val="00B825ED"/>
    <w:rsid w:val="00E63E4F"/>
    <w:rsid w:val="00F0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2D"/>
    <w:pPr>
      <w:ind w:left="720"/>
      <w:contextualSpacing/>
    </w:pPr>
  </w:style>
  <w:style w:type="character" w:styleId="Hyperlink">
    <w:name w:val="Hyperlink"/>
    <w:basedOn w:val="DefaultParagraphFont"/>
    <w:uiPriority w:val="99"/>
    <w:unhideWhenUsed/>
    <w:rsid w:val="00976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2D"/>
    <w:pPr>
      <w:ind w:left="720"/>
      <w:contextualSpacing/>
    </w:pPr>
  </w:style>
  <w:style w:type="character" w:styleId="Hyperlink">
    <w:name w:val="Hyperlink"/>
    <w:basedOn w:val="DefaultParagraphFont"/>
    <w:uiPriority w:val="99"/>
    <w:unhideWhenUsed/>
    <w:rsid w:val="00976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help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dc:creator>
  <cp:lastModifiedBy>Lupe</cp:lastModifiedBy>
  <cp:revision>1</cp:revision>
  <dcterms:created xsi:type="dcterms:W3CDTF">2011-10-15T22:03:00Z</dcterms:created>
  <dcterms:modified xsi:type="dcterms:W3CDTF">2011-10-15T23:33:00Z</dcterms:modified>
</cp:coreProperties>
</file>